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Snail,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001-41556</w:t>
            </w:r>
          </w:p>
        </w:tc>
        <w:tc>
          <w:tcPr>
            <w:tcW w:w="2200" w:type="dxa"/>
            <w:vAlign w:val="bottom"/>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88-4146991</w:t>
            </w:r>
          </w:p>
        </w:tc>
      </w:tr>
      <w:tr>
        <w:trPr>
          <w:trHeight w:val="216"/>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8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File Number)</w:t>
            </w:r>
          </w:p>
        </w:tc>
        <w:tc>
          <w:tcPr>
            <w:tcW w:w="220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12049 Jefferson Blvd</w:t>
            </w:r>
          </w:p>
        </w:tc>
        <w:tc>
          <w:tcPr>
            <w:tcW w:w="2200" w:type="dxa"/>
            <w:vAlign w:val="bottom"/>
          </w:tcPr>
          <w:p>
            <w:pPr>
              <w:spacing w:after="0"/>
              <w:rPr>
                <w:sz w:val="24"/>
                <w:szCs w:val="24"/>
                <w:color w:val="auto"/>
              </w:rPr>
            </w:pPr>
          </w:p>
        </w:tc>
      </w:tr>
      <w:tr>
        <w:trPr>
          <w:trHeight w:val="220"/>
        </w:trPr>
        <w:tc>
          <w:tcPr>
            <w:tcW w:w="238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Culver City, CA 90230</w:t>
            </w:r>
          </w:p>
        </w:tc>
        <w:tc>
          <w:tcPr>
            <w:tcW w:w="2200" w:type="dxa"/>
            <w:vAlign w:val="bottom"/>
          </w:tcPr>
          <w:p>
            <w:pPr>
              <w:spacing w:after="0"/>
              <w:rPr>
                <w:sz w:val="19"/>
                <w:szCs w:val="19"/>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20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 (310) 988-0643</w:t>
            </w:r>
          </w:p>
        </w:tc>
        <w:tc>
          <w:tcPr>
            <w:tcW w:w="220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20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7"/>
        </w:trPr>
        <w:tc>
          <w:tcPr>
            <w:tcW w:w="4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 share</w:t>
            </w:r>
          </w:p>
        </w:tc>
        <w:tc>
          <w:tcPr>
            <w:tcW w:w="240" w:type="dxa"/>
            <w:vAlign w:val="bottom"/>
          </w:tcPr>
          <w:p>
            <w:pPr>
              <w:spacing w:after="0"/>
              <w:rPr>
                <w:sz w:val="16"/>
                <w:szCs w:val="16"/>
                <w:color w:val="auto"/>
              </w:rPr>
            </w:pPr>
          </w:p>
        </w:tc>
        <w:tc>
          <w:tcPr>
            <w:tcW w:w="2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SNAL</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19, 2025, Snail, Inc. (the “Company”) held its 2026 Annual Meeting of Stockholders (the “Annual Meeting”). The following are the results of the voting on the two (2) proposals (the “Proposals”) submitted to stockholders at the Annual Meeting. These Proposals are described in more detail in the Company’s definitive proxy statement on Schedule 14A for the Annual Meeting, which was filed on April 16, 2026 with the Securities and Exchange Commission.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April 15, 2025, the record date for the Annual Meeting, there were 13,873,422 shares of the Company’s Class A common stock, par value $0.0001 per share (the “Class A Common Stock”), and 28,748,580 shares of the Company’s Class B common stock, par value $0.0001 per share (the “Class B Common Stock”), outstanding and entitled to vote. Of the Company’s common stock, the Class A Common Stock was entitled to one (1) vote per share and the Class B Common Stock was entitled to ten (10) votes per share at the Annual Meeting, constituting all of the outstanding voting securities of the Company as of the record date. At the Annual Meeting, the holders of shares holding 291,710,391 votes, constituting 96.8% of the total voting power of all outstanding securities of the Company generally entitled to vote, were present or represented by proxy, constituting a quorum.</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1</w:t>
      </w:r>
      <w:r>
        <w:rPr>
          <w:rFonts w:ascii="Times New Roman" w:cs="Times New Roman" w:eastAsia="Times New Roman" w:hAnsi="Times New Roman"/>
          <w:sz w:val="18"/>
          <w:szCs w:val="18"/>
          <w:color w:val="auto"/>
        </w:rPr>
        <w:t>–The stockholders elected the following eight (8) nominees for director to the Company’s Board of Directors to hold office until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next annual meeting of stockholders and until their respective successors are duly elected and qualified, based on the following votes: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Hai Shi</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288,004,441</w:t>
            </w:r>
          </w:p>
        </w:tc>
        <w:tc>
          <w:tcPr>
            <w:tcW w:w="2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83,485</w:t>
            </w:r>
          </w:p>
        </w:tc>
        <w:tc>
          <w:tcPr>
            <w:tcW w:w="2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Jim Tsai</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288,002,004</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85,922</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Heidy Chow</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287,902,743</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185,183</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Kang</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287,950,693</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137,233</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Ying Zhou</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287,950,293</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137,633</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Foster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288,009,601</w:t>
            </w:r>
          </w:p>
        </w:tc>
        <w:tc>
          <w:tcPr>
            <w:tcW w:w="2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78,325</w:t>
            </w:r>
          </w:p>
        </w:tc>
        <w:tc>
          <w:tcPr>
            <w:tcW w:w="2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Sandra Pundmann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287,955,605</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132,321</w:t>
            </w:r>
          </w:p>
        </w:tc>
        <w:tc>
          <w:tcPr>
            <w:tcW w:w="20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Jamieson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288,008,487</w:t>
            </w:r>
          </w:p>
        </w:tc>
        <w:tc>
          <w:tcPr>
            <w:tcW w:w="2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79,439</w:t>
            </w:r>
          </w:p>
        </w:tc>
        <w:tc>
          <w:tcPr>
            <w:tcW w:w="2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3,622,465</w:t>
            </w:r>
          </w:p>
        </w:tc>
      </w:tr>
    </w:tbl>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The stockholders ratified the appointment of BDO USA, P.C. as the Company’s independent registered public accounting firm for the fiscal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ending December 31, 2026 by the following vote: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291,440,661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204,581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65,149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items were presented for stockholder approval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SNAIL,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Hai Shi</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Hai Shi</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2026-05-28T17:18:38Z</dcterms:created>
  <dcterms:modified xsi:type="dcterms:W3CDTF">2026-05-28T17:18:38Z</dcterms:modified>
</cp:coreProperties>
</file>