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Snail,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00" w:type="dxa"/>
        <w:tblCellMar>
          <w:top w:w="0" w:type="dxa"/>
          <w:left w:w="0" w:type="dxa"/>
          <w:bottom w:w="0" w:type="dxa"/>
          <w:right w:w="0" w:type="dxa"/>
        </w:tblCellMar>
      </w:tblPr>
      <w:tr>
        <w:trPr>
          <w:trHeight w:val="218"/>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001-41556</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88-4146991</w:t>
            </w:r>
          </w:p>
        </w:tc>
      </w:tr>
      <w:tr>
        <w:trPr>
          <w:trHeight w:val="216"/>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I.R.S. Employer</w:t>
            </w:r>
          </w:p>
        </w:tc>
      </w:tr>
      <w:tr>
        <w:trPr>
          <w:trHeight w:val="236"/>
        </w:trPr>
        <w:tc>
          <w:tcPr>
            <w:tcW w:w="2620" w:type="dxa"/>
            <w:vAlign w:val="bottom"/>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r>
              <w:rPr>
                <w:rFonts w:ascii="Times New Roman" w:cs="Times New Roman" w:eastAsia="Times New Roman" w:hAnsi="Times New Roman"/>
                <w:sz w:val="18"/>
                <w:szCs w:val="18"/>
                <w:color w:val="auto"/>
                <w:w w:val="99"/>
              </w:rPr>
              <w:t>)</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8"/>
              </w:rPr>
              <w:t>File Number</w:t>
            </w:r>
            <w:r>
              <w:rPr>
                <w:rFonts w:ascii="Times New Roman" w:cs="Times New Roman" w:eastAsia="Times New Roman" w:hAnsi="Times New Roman"/>
                <w:sz w:val="18"/>
                <w:szCs w:val="18"/>
                <w:color w:val="auto"/>
                <w:w w:val="98"/>
              </w:rPr>
              <w:t>)</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i w:val="1"/>
                <w:iCs w:val="1"/>
                <w:color w:val="auto"/>
                <w:w w:val="99"/>
              </w:rPr>
              <w:t>Identification No.</w:t>
            </w:r>
            <w:r>
              <w:rPr>
                <w:rFonts w:ascii="Times New Roman" w:cs="Times New Roman" w:eastAsia="Times New Roman" w:hAnsi="Times New Roman"/>
                <w:sz w:val="18"/>
                <w:szCs w:val="18"/>
                <w:color w:val="auto"/>
                <w:w w:val="99"/>
              </w:rPr>
              <w:t>)</w:t>
            </w:r>
          </w:p>
        </w:tc>
      </w:tr>
      <w:tr>
        <w:trPr>
          <w:trHeight w:val="410"/>
        </w:trPr>
        <w:tc>
          <w:tcPr>
            <w:tcW w:w="262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12049 Jefferson Blvd</w:t>
            </w:r>
          </w:p>
        </w:tc>
        <w:tc>
          <w:tcPr>
            <w:tcW w:w="1940" w:type="dxa"/>
            <w:vAlign w:val="bottom"/>
          </w:tcPr>
          <w:p>
            <w:pPr>
              <w:spacing w:after="0"/>
              <w:rPr>
                <w:sz w:val="24"/>
                <w:szCs w:val="24"/>
                <w:color w:val="auto"/>
              </w:rPr>
            </w:pPr>
          </w:p>
        </w:tc>
      </w:tr>
      <w:tr>
        <w:trPr>
          <w:trHeight w:val="218"/>
        </w:trPr>
        <w:tc>
          <w:tcPr>
            <w:tcW w:w="262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Culver City, CA 90230</w:t>
            </w:r>
          </w:p>
        </w:tc>
        <w:tc>
          <w:tcPr>
            <w:tcW w:w="1940" w:type="dxa"/>
            <w:vAlign w:val="bottom"/>
          </w:tcPr>
          <w:p>
            <w:pPr>
              <w:spacing w:after="0"/>
              <w:rPr>
                <w:sz w:val="18"/>
                <w:szCs w:val="18"/>
                <w:color w:val="auto"/>
              </w:rPr>
            </w:pPr>
          </w:p>
        </w:tc>
      </w:tr>
      <w:tr>
        <w:trPr>
          <w:trHeight w:val="236"/>
        </w:trPr>
        <w:tc>
          <w:tcPr>
            <w:tcW w:w="2620" w:type="dxa"/>
            <w:vAlign w:val="bottom"/>
          </w:tcPr>
          <w:p>
            <w:pPr>
              <w:spacing w:after="0"/>
              <w:rPr>
                <w:sz w:val="20"/>
                <w:szCs w:val="20"/>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Address of principal executive offices</w:t>
            </w:r>
            <w:r>
              <w:rPr>
                <w:rFonts w:ascii="Times New Roman" w:cs="Times New Roman" w:eastAsia="Times New Roman" w:hAnsi="Times New Roman"/>
                <w:sz w:val="18"/>
                <w:szCs w:val="18"/>
                <w:color w:val="auto"/>
                <w:w w:val="99"/>
              </w:rPr>
              <w:t>)</w:t>
            </w:r>
          </w:p>
        </w:tc>
        <w:tc>
          <w:tcPr>
            <w:tcW w:w="1940" w:type="dxa"/>
            <w:vAlign w:val="bottom"/>
          </w:tcPr>
          <w:p>
            <w:pPr>
              <w:spacing w:after="0"/>
              <w:rPr>
                <w:sz w:val="20"/>
                <w:szCs w:val="20"/>
                <w:color w:val="auto"/>
              </w:rPr>
            </w:pPr>
          </w:p>
        </w:tc>
      </w:tr>
      <w:tr>
        <w:trPr>
          <w:trHeight w:val="412"/>
        </w:trPr>
        <w:tc>
          <w:tcPr>
            <w:tcW w:w="262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(310) 988-0643</w:t>
            </w:r>
          </w:p>
        </w:tc>
        <w:tc>
          <w:tcPr>
            <w:tcW w:w="1940" w:type="dxa"/>
            <w:vAlign w:val="bottom"/>
          </w:tcPr>
          <w:p>
            <w:pPr>
              <w:spacing w:after="0"/>
              <w:rPr>
                <w:sz w:val="24"/>
                <w:szCs w:val="24"/>
                <w:color w:val="auto"/>
              </w:rPr>
            </w:pPr>
          </w:p>
        </w:tc>
      </w:tr>
      <w:tr>
        <w:trPr>
          <w:trHeight w:val="236"/>
        </w:trPr>
        <w:tc>
          <w:tcPr>
            <w:tcW w:w="2620" w:type="dxa"/>
            <w:vAlign w:val="bottom"/>
          </w:tcPr>
          <w:p>
            <w:pPr>
              <w:spacing w:after="0"/>
              <w:rPr>
                <w:sz w:val="20"/>
                <w:szCs w:val="20"/>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194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SNAL</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20, 2026, Snail, Inc., a Delaware corporation (the “Company”) filed an Amendment No. 1 (“Amendment No. 1”) to its prospectus supplement, dated August 7, 2025, and the accompanying base prospectus, dated September 20, 2024, contained therein (the “ATM Prospectus Supplement”) to increase the capacity of its existing “at-the-market” offering program (the “ATM”) to $3,660,000 of shares (the “Shares”) of Class A Common Stock, par value $0.0001 per share (the “Class A Common Stock”), which does not include the shares of Class A Common Stock having an aggregate sales price of $4,367,863 that were sold pursuant to the ATM Prospectus Supplement prior to the filing of Amendment No. 1. While the filing of Amendment No. 1 increases the available capacity under the ATM, the Company is under no obligation to issue any Shares pursuant to the program. The expanded facility is intended to enhance the Company’s financial flexibility, providing an efficient mechanism to access capital if, and when, deemed appropriate. Any utilization of the ATM will be at the discretion of the Company, taking into account prevailing market conditions and strategic priorities.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the ATM is conducted pursuant to the at the market offering agreement (the “Offering Agreement”), dated August 7, 2025 by and among the Company and H.C. Wainwright &amp; Co. LLC (the “Sales Agent”). There can be no assurance that the Sales Agent will be able to complete future placements pursuant to the Offering Agreement, even if instructed to do so. The number of Shares that the Company may ultimately sell under the Offering Agreement, if it chooses to do so, will fluctuate based on a number of factors, including the market price of its common stock during the sales period, the limits it may set in any instruction to sell Shares, and the demand for its common stock during an applicable sales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 as Exhibit 5.1 to this Current Report is the opinion of Blank Rome LLP relating to the legality of the issuance and sale of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410"/>
        </w:trPr>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38"/>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5.1</w:t>
            </w:r>
          </w:p>
        </w:tc>
        <w:tc>
          <w:tcPr>
            <w:tcW w:w="1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Opinion of Blank Rome LLP</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Blank Rome LLP (contained in Exhibit 5.1 above)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45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20, 2026</w:t>
      </w:r>
      <w:r>
        <w:rPr>
          <w:sz w:val="20"/>
          <w:szCs w:val="20"/>
          <w:color w:val="auto"/>
        </w:rPr>
        <w:tab/>
      </w:r>
      <w:r>
        <w:rPr>
          <w:rFonts w:ascii="Times New Roman" w:cs="Times New Roman" w:eastAsia="Times New Roman" w:hAnsi="Times New Roman"/>
          <w:sz w:val="18"/>
          <w:szCs w:val="18"/>
          <w:b w:val="1"/>
          <w:bCs w:val="1"/>
          <w:color w:val="auto"/>
        </w:rPr>
        <w:t>SNAIL,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Hai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i w:val="1"/>
          <w:iCs w:val="1"/>
          <w:color w:val="auto"/>
        </w:rPr>
        <w:t>Hai Shi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9707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970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 | New York, NY 10020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blankrome.com</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May 20,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Snail,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12049 Jefferson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Culver City, California 90230</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Snail, Inc. Registration Statement on Form S-3 (File No. 333-282030)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counsel to Snail,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offering by the Company of shares of its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having an aggregate offering price of up to $3,660,000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the Registration Statement on Form S-3 (File No. 333-282030)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Amendment No. 1, dated May 20, 2026, to the prospectus supplement dated August 7, 2025 filed with the Commission pursuant to Rule 424(b)(5) promulgated under the Securities Act (as amended,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Shares are to be sold by the Company under that certain At The Market Offering Agreement, dated August 7, 2025, by and between the Company and H.C. Wainwright &amp; Co., LLC, as sales agent (the “</w:t>
      </w:r>
      <w:r>
        <w:rPr>
          <w:rFonts w:ascii="Times New Roman" w:cs="Times New Roman" w:eastAsia="Times New Roman" w:hAnsi="Times New Roman"/>
          <w:sz w:val="18"/>
          <w:szCs w:val="18"/>
          <w:b w:val="1"/>
          <w:bCs w:val="1"/>
          <w:color w:val="auto"/>
        </w:rPr>
        <w:t>ATM Sales Agreement</w:t>
      </w:r>
      <w:r>
        <w:rPr>
          <w:rFonts w:ascii="Times New Roman" w:cs="Times New Roman" w:eastAsia="Times New Roman" w:hAnsi="Times New Roman"/>
          <w:sz w:val="18"/>
          <w:szCs w:val="18"/>
          <w:color w:val="auto"/>
        </w:rPr>
        <w:t>”), as described in the Prospectus.</w:t>
      </w:r>
    </w:p>
    <w:p>
      <w:pPr>
        <w:spacing w:after="0" w:line="189"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In rendering the opinions set forth herein, we have examined originals or copies, certified or otherwise identified to our satisfaction, of (i) the Registration Statement, (ii) the Prospectus, (iii) the ATM Sales Agreement, (iv) resolutions adopted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(v) the amended and restated certificate of incorporation of the Company, (vi) the amended and restated bylaws of the Company, and (vii) such other corporate records, agreements, certificates, including, but not limited to, certificates or comparable documents of public officials and of officers and representatives of the Company, statutes and other instruments and documents as we considered relevant and necessary as a basis for the opinions hereinafter expressed.</w:t>
      </w:r>
    </w:p>
    <w:p>
      <w:pPr>
        <w:spacing w:after="0" w:line="187" w:lineRule="exact"/>
        <w:rPr>
          <w:sz w:val="20"/>
          <w:szCs w:val="20"/>
          <w:color w:val="auto"/>
        </w:rPr>
      </w:pPr>
    </w:p>
    <w:p>
      <w:pPr>
        <w:jc w:val="both"/>
        <w:ind w:firstLine="583"/>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assumed, without inquiry, (i) the authenticity of all documents submitted to us as originals; (ii) the conformity to the original documents of all documents submitted to us as facsimile, electronic, certified or photostatic copies, and the authenticity of the originals of such copies; (iii) the legal capacity of all natural persons and the genuineness of all signatures on the Registration Statement and all documents submitted to us; and (iv) that the books and records of the Company are maintained in accordance with proper corporate procedures.</w:t>
      </w:r>
    </w:p>
    <w:p>
      <w:pPr>
        <w:spacing w:after="0" w:line="180"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connection with the Shares, we have assumed (i) that each sale of Shares will be duly authorized by the Board, a duly authorized committee thereof or a person or body pursuant to an authorization granted in accordance with Section 152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(ii) that the price at which the Shares are sold will equal or exceed the par value of the Class A Common Stock.</w:t>
      </w:r>
    </w:p>
    <w:p>
      <w:pPr>
        <w:spacing w:after="0" w:line="176" w:lineRule="exact"/>
        <w:rPr>
          <w:sz w:val="20"/>
          <w:szCs w:val="20"/>
          <w:color w:val="auto"/>
        </w:rPr>
      </w:pPr>
    </w:p>
    <w:p>
      <w:pPr>
        <w:jc w:val="both"/>
        <w:ind w:right="20" w:firstLine="583"/>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97075"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97075" cy="248285"/>
                    </a:xfrm>
                    <a:prstGeom prst="rect">
                      <a:avLst/>
                    </a:prstGeom>
                    <a:noFill/>
                  </pic:spPr>
                </pic:pic>
              </a:graphicData>
            </a:graphic>
          </wp:anchor>
        </w:drawing>
        <w:t>1271 Avenue of the Americas | New York, NY 10020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blankrome.com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qualifications, exceptions and assumptions stated herein, we are of the opinion that when the Shares have been issued and paid for in accordance with the terms and conditions of the ATM Sales Agreement and as provided in the Registration Statement and the Prospectus, the Shares will be validly issued, fully paid and nonassessable.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in the Current Report on Form 8-K to be filed with the Commission for incorporation by reference into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no other or more extensive opinion is intended, implied or to be inferred beyond the matters expressly stated herein. This opinion letter is not a guaranty nor may one be inferred or implied.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Blank Rome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BLANK ROME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2026-05-21T05:12:27Z</dcterms:created>
  <dcterms:modified xsi:type="dcterms:W3CDTF">2026-05-21T05:12:27Z</dcterms:modified>
</cp:coreProperties>
</file>